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600"/>
        <w:jc w:val="center"/>
      </w:pPr>
      <w:r>
        <w:drawing>
          <wp:inline distT="0" distB="0" distL="0" distR="0">
            <wp:extent cx="1143000" cy="12382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0F1B2D"/>
          <w:sz w:val="52"/>
          <w:szCs w:val="52"/>
        </w:rPr>
        <w:t xml:space="preserve">Risk Assessment Template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6B7280"/>
          <w:sz w:val="28"/>
          <w:szCs w:val="28"/>
        </w:rPr>
        <w:t xml:space="preserve">AI System Risk Evaluation Framework</w:t>
      </w:r>
    </w:p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8B5CF6"/>
          <w:sz w:val="22"/>
          <w:szCs w:val="22"/>
        </w:rPr>
        <w:t xml:space="preserve">COMPEL Stage: Model</w:t>
      </w:r>
    </w:p>
    <w:p>
      <w:pPr>
        <w:spacing w:after="200"/>
        <w:jc w:val="center"/>
      </w:pPr>
      <w:r>
        <w:rPr>
          <w:rFonts w:ascii="Calibri Light" w:cs="Calibri Light" w:eastAsia="Calibri Light" w:hAnsi="Calibri Light"/>
          <w:color w:val="6B7280"/>
          <w:sz w:val="20"/>
          <w:szCs w:val="20"/>
        </w:rPr>
        <w:t xml:space="preserve">EA-003</w:t>
      </w:r>
    </w:p>
    <w:p>
      <w:pPr>
        <w:spacing w:after="400" w:before="200"/>
        <w:jc w:val="center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A structured risk evaluation template covering impact dimensions, likelihood assessment, existing and planned controls, residual risk calculation, and escalation triggers. Designed to produce audit-ready risk documentation for each AI system.</w:t>
      </w:r>
    </w:p>
    <w:p>
      <w:pPr>
        <w:pBdr>
          <w:bottom w:val="single" w:color="E8891D" w:sz="6"/>
        </w:pBdr>
        <w:spacing w:after="200"/>
        <w:jc w:val="center"/>
      </w:pPr>
      <w:r>
        <w:t xml:space="preserve"/>
      </w:r>
    </w:p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COMPEL Domains: 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D17: Risk Management  |  D15: Ethics &amp; Fairness  |  D16: Regulatory Compliance</w:t>
      </w:r>
    </w:p>
    <w:p>
      <w:pPr>
        <w:spacing w:after="600"/>
        <w:jc w:val="center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Standards: 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ISO 42001 Clause 6.1.2  |  ISO 42001 Annex A.5  |  ISO 42001 Annex A.6  |  NIST AI RMF MAP 2.1  |  NIST AI RMF MEASURE 1.1  |  EU AI Act Article 9(2)</w:t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color w:val="0F1B2D"/>
          <w:sz w:val="24"/>
          <w:szCs w:val="24"/>
        </w:rPr>
        <w:t xml:space="preserve">How to Use This Template</w:t>
      </w:r>
    </w:p>
    <w:p>
      <w:pPr>
        <w:spacing w:after="10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1. Fill in each section below with your organization's information.</w:t>
      </w:r>
    </w:p>
    <w:p>
      <w:pPr>
        <w:spacing w:after="10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2. Replace placeholder text (shown in italics) with your actual content.</w:t>
      </w:r>
    </w:p>
    <w:p>
      <w:pPr>
        <w:spacing w:after="10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3. Guidance notes (in gray boxes) provide instructions — delete them from your final version.</w:t>
      </w:r>
    </w:p>
    <w:p>
      <w:pPr>
        <w:spacing w:after="40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4. Standards references help auditors map your evidence to compliance requirements.</w:t>
      </w:r>
    </w:p>
    <w:p>
      <w:pPr>
        <w:pageBreakBefore/>
      </w:pPr>
    </w:p>
    <w:p>
      <w:pPr>
        <w:pStyle w:val="Heading2"/>
        <w:pBdr>
          <w:bottom w:val="single" w:color="0B9B8A" w:sz="3"/>
        </w:pBdr>
        <w:spacing w:after="100" w:before="400"/>
      </w:pPr>
      <w:r>
        <w:rPr>
          <w:rFonts w:ascii="Calibri" w:cs="Calibri" w:eastAsia="Calibri" w:hAnsi="Calibri"/>
          <w:b/>
          <w:bCs/>
          <w:color w:val="0F1B2D"/>
          <w:sz w:val="28"/>
          <w:szCs w:val="28"/>
        </w:rPr>
        <w:t xml:space="preserve">Assessment Header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Identification and context for this risk assessment.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Assessment ID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Link to the system ID in the AI Use-Case Register. Include version number.</w:t>
      </w:r>
    </w:p>
    <w:p>
      <w:pPr>
        <w:pBdr>
          <w:bottom w:val="single" w:color="E5E7EB" w:sz="1"/>
        </w:pBdr>
        <w:spacing w:after="10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RA-AI-SYS-001-v1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AI System Reference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Reference the exact system ID and name from the register.</w:t>
      </w:r>
    </w:p>
    <w:p>
      <w:pPr>
        <w:pBdr>
          <w:bottom w:val="single" w:color="E5E7EB" w:sz="1"/>
        </w:pBdr>
        <w:spacing w:after="10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AI-SYS-001: Customer Churn Prediction Model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Assessment Date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Date the assessment was conducted.</w:t>
      </w:r>
    </w:p>
    <w:p>
      <w:pPr>
        <w:pBdr>
          <w:bottom w:val="single" w:color="E5E7EB" w:sz="1"/>
        </w:pBdr>
        <w:spacing w:after="10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YYYY-MM-DD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Assessor(s)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Risk assessments should involve multiple perspectives. Name all participants.</w:t>
      </w:r>
    </w:p>
    <w:p>
      <w:pPr>
        <w:pBdr>
          <w:bottom w:val="single" w:color="E5E7EB" w:sz="1"/>
        </w:pBdr>
        <w:spacing w:after="10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Risk Officer, Data Scientist, Business Owner, Legal Counsel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Assessment Trigger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(select)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Document why this assessment is being performed.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Select one: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New system  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Material change  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Scheduled review  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Incident-driven  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Regulatory change</w:t>
      </w:r>
    </w:p>
    <w:p>
      <w:pPr>
        <w:pStyle w:val="Heading2"/>
        <w:pBdr>
          <w:bottom w:val="single" w:color="0B9B8A" w:sz="3"/>
        </w:pBdr>
        <w:spacing w:after="100" w:before="400"/>
      </w:pPr>
      <w:r>
        <w:rPr>
          <w:rFonts w:ascii="Calibri" w:cs="Calibri" w:eastAsia="Calibri" w:hAnsi="Calibri"/>
          <w:b/>
          <w:bCs/>
          <w:color w:val="0F1B2D"/>
          <w:sz w:val="28"/>
          <w:szCs w:val="28"/>
        </w:rPr>
        <w:t xml:space="preserve">Impact Assessment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Evaluate the potential impacts of the AI system across multiple dimensions.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Individual Impact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(textarea)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Consider: discrimination risk, privacy implications, autonomy restriction, financial impact, physical safety, psychological wellbeing. Score: None / Low / Medium / High / Critical.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How does this system affect individual rights, safety, autonomy, or wellbeing? E.g., "Model outputs influence retention offers, potentially affecting pricing fairness across customer segments."</w:t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Societal Impact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(textarea)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Consider: social inequality amplification, democratic process influence, labor market effects, environmental impact. Score: None / Low / Medium / High / Critical.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What broader societal effects could this system produce at scale? E.g., "Large-scale churn prediction could create market concentration effects if broadly adopted."</w:t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Organizational Impact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(textarea)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Consider: financial loss, regulatory penalties, reputational harm, operational disruption, legal liability. Score: None / Low / Medium / High / Critical.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What risks does this system pose to the organization? E.g., "Model errors could lead to customer dissatisfaction, regulatory scrutiny, or reputational damage."</w:t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Data and Privacy Impact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(textarea)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Consider: personal data processing, data breach consequences, consent adequacy, cross-border data transfer, data retention requirements.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What data risks are associated with this system? E.g., "Uses 12 months of customer behavioral data including purchase history and demographics."</w:t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Bias and Fairness Impact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(textarea)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Consider: training data representation, proxy discrimination, feedback loops, performance disparities across groups, intersectional effects.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What bias risks exist in this system? E.g., "Training data may underrepresent certain demographic groups, potentially leading to inequitable churn predictions."</w:t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Style w:val="Heading2"/>
        <w:pBdr>
          <w:bottom w:val="single" w:color="0B9B8A" w:sz="3"/>
        </w:pBdr>
        <w:spacing w:after="100" w:before="400"/>
      </w:pPr>
      <w:r>
        <w:rPr>
          <w:rFonts w:ascii="Calibri" w:cs="Calibri" w:eastAsia="Calibri" w:hAnsi="Calibri"/>
          <w:b/>
          <w:bCs/>
          <w:color w:val="0F1B2D"/>
          <w:sz w:val="28"/>
          <w:szCs w:val="28"/>
        </w:rPr>
        <w:t xml:space="preserve">Likelihood Assessment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Assess the probability of identified risks materializing.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Likelihood Factors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(checklist)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Evaluate each factor. More complex systems with less oversight and higher volume carry higher likelihood.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System complexity and maturity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Data quality and completeness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Human oversight in the decision loop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Frequency and volume of decisions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Exposure to adversarial inputs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Drift monitoring capabilities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Precedent from similar systems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Overall Likelihood Rating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(select)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Use a 5-point scale. Document the rationale for the selected rating.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Select one: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Rare  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Unlikely  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Possible  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Likely  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Almost Certain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Likelihood Rationale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(textarea)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Explain why you chose this rating. Reference specific evidence from testing, monitoring, or comparable systems.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Rated "Possible" because: model processes 50K predictions daily with human review only for top-10 actions. Bias testing shows 3% performance disparity across age groups.</w:t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Style w:val="Heading2"/>
        <w:pBdr>
          <w:bottom w:val="single" w:color="0B9B8A" w:sz="3"/>
        </w:pBdr>
        <w:spacing w:after="100" w:before="400"/>
      </w:pPr>
      <w:r>
        <w:rPr>
          <w:rFonts w:ascii="Calibri" w:cs="Calibri" w:eastAsia="Calibri" w:hAnsi="Calibri"/>
          <w:b/>
          <w:bCs/>
          <w:color w:val="0F1B2D"/>
          <w:sz w:val="28"/>
          <w:szCs w:val="28"/>
        </w:rPr>
        <w:t xml:space="preserve">Controls Assessment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Document existing controls and planned mitigations.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Existing Controls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(table)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List all controls currently in place. Rate effectiveness as: Strong / Adequate / Partial / Weak / None. Reference evidence of operation.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</w:tblPr>
      <w:tblGrid>
        <w:gridCol w:w="100"/>
        <w:gridCol w:w="100"/>
        <w:gridCol w:w="100"/>
        <w:gridCol w:w="100"/>
      </w:tblGrid>
      <w:tr>
        <w:tc>
          <w:tcPr>
            <w:shd w:color="0F1B2D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Control</w:t>
            </w:r>
          </w:p>
        </w:tc>
        <w:tc>
          <w:tcPr>
            <w:shd w:color="0F1B2D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shd w:color="0F1B2D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Effectiveness</w:t>
            </w:r>
          </w:p>
        </w:tc>
        <w:tc>
          <w:tcPr>
            <w:shd w:color="0F1B2D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Evidence</w:t>
            </w:r>
          </w:p>
        </w:tc>
      </w:tr>
      <w:tr>
        <w:tc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Human review of top-10 actions</w:t>
            </w:r>
          </w:p>
        </w:tc>
        <w:tc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Procedural</w:t>
            </w:r>
          </w:p>
        </w:tc>
        <w:tc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Adequate</w:t>
            </w:r>
          </w:p>
        </w:tc>
        <w:tc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Review logs</w:t>
            </w:r>
          </w:p>
        </w:tc>
      </w:tr>
      <w:tr>
        <w:tc>
          <w:tcPr>
            <w:shd w:color="F3F4F6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Monthly bias testing</w:t>
            </w:r>
          </w:p>
        </w:tc>
        <w:tc>
          <w:tcPr>
            <w:shd w:color="F3F4F6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Technical</w:t>
            </w:r>
          </w:p>
        </w:tc>
        <w:tc>
          <w:tcPr>
            <w:shd w:color="F3F4F6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Partial</w:t>
            </w:r>
          </w:p>
        </w:tc>
        <w:tc>
          <w:tcPr>
            <w:shd w:color="F3F4F6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Test reports</w:t>
            </w:r>
          </w:p>
        </w:tc>
      </w:tr>
      <w:tr>
        <w:tc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Model drift alerts (&gt;5% threshold)</w:t>
            </w:r>
          </w:p>
        </w:tc>
        <w:tc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Technical</w:t>
            </w:r>
          </w:p>
        </w:tc>
        <w:tc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Adequate</w:t>
            </w:r>
          </w:p>
        </w:tc>
        <w:tc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Alert configuration</w:t>
            </w:r>
          </w:p>
        </w:tc>
      </w:tr>
      <w:tr>
        <w:tc>
          <w:tcPr>
            <w:shd w:color="F3F4F6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Quarterly model retraining</w:t>
            </w:r>
          </w:p>
        </w:tc>
        <w:tc>
          <w:tcPr>
            <w:shd w:color="F3F4F6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Technical</w:t>
            </w:r>
          </w:p>
        </w:tc>
        <w:tc>
          <w:tcPr>
            <w:shd w:color="F3F4F6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Adequate</w:t>
            </w:r>
          </w:p>
        </w:tc>
        <w:tc>
          <w:tcPr>
            <w:shd w:color="F3F4F6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Training records</w:t>
            </w:r>
          </w:p>
        </w:tc>
      </w:tr>
      <w:tr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Control Gaps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(textarea)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Identify where controls are missing or insufficient. Each gap should map to a specific risk dimension.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Gap 1: No real-time fairness monitoring (only monthly batch testing). Gap 2: Human review covers only top actions, not the full population.</w:t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Planned Mitigations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(table)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For each control gap, define a specific mitigation action with owner, target date, and current status.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</w:tblPr>
      <w:tblGrid>
        <w:gridCol w:w="100"/>
        <w:gridCol w:w="100"/>
        <w:gridCol w:w="100"/>
        <w:gridCol w:w="100"/>
      </w:tblGrid>
      <w:tr>
        <w:tc>
          <w:tcPr>
            <w:shd w:color="0F1B2D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Mitigation</w:t>
            </w:r>
          </w:p>
        </w:tc>
        <w:tc>
          <w:tcPr>
            <w:shd w:color="0F1B2D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Target Date</w:t>
            </w:r>
          </w:p>
        </w:tc>
        <w:tc>
          <w:tcPr>
            <w:shd w:color="0F1B2D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shd w:color="0F1B2D" w:val="solid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Implement real-time fairness dashboard</w:t>
            </w:r>
          </w:p>
        </w:tc>
        <w:tc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Q2 2026</w:t>
            </w:r>
          </w:p>
        </w:tc>
        <w:tc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Data Science Lead</w:t>
            </w:r>
          </w:p>
        </w:tc>
        <w:tc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In Progress</w:t>
            </w:r>
          </w:p>
        </w:tc>
      </w:tr>
      <w:tr>
        <w:tc>
          <w:tcPr>
            <w:shd w:color="F3F4F6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Expand human review to all high-risk predictions</w:t>
            </w:r>
          </w:p>
        </w:tc>
        <w:tc>
          <w:tcPr>
            <w:shd w:color="F3F4F6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Q3 2026</w:t>
            </w:r>
          </w:p>
        </w:tc>
        <w:tc>
          <w:tcPr>
            <w:shd w:color="F3F4F6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Operations Manager</w:t>
            </w:r>
          </w:p>
        </w:tc>
        <w:tc>
          <w:tcPr>
            <w:shd w:color="F3F4F6" w:val="solid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Planned</w:t>
            </w:r>
          </w:p>
        </w:tc>
      </w:tr>
      <w:tr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Style w:val="Heading2"/>
        <w:pBdr>
          <w:bottom w:val="single" w:color="0B9B8A" w:sz="3"/>
        </w:pBdr>
        <w:spacing w:after="100" w:before="400"/>
      </w:pPr>
      <w:r>
        <w:rPr>
          <w:rFonts w:ascii="Calibri" w:cs="Calibri" w:eastAsia="Calibri" w:hAnsi="Calibri"/>
          <w:b/>
          <w:bCs/>
          <w:color w:val="0F1B2D"/>
          <w:sz w:val="28"/>
          <w:szCs w:val="28"/>
        </w:rPr>
        <w:t xml:space="preserve">Residual Risk and Decision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Calculate residual risk after controls and make a governance decision.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Inherent Risk Score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Combine impact and likelihood using your risk matrix. This is the risk before controls.</w:t>
      </w:r>
    </w:p>
    <w:p>
      <w:pPr>
        <w:pBdr>
          <w:bottom w:val="single" w:color="E5E7EB" w:sz="1"/>
        </w:pBdr>
        <w:spacing w:after="10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High (Impact: High x Likelihood: Possible)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Control Effectiveness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(select)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Overall assessment of how well existing controls mitigate the identified risks.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Select one: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Strong  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Adequate  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Partial  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Weak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Residual Risk Score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The remaining risk after controls are applied. This is the risk the organization accepts.</w:t>
      </w:r>
    </w:p>
    <w:p>
      <w:pPr>
        <w:pBdr>
          <w:bottom w:val="single" w:color="E5E7EB" w:sz="1"/>
        </w:pBdr>
        <w:spacing w:after="10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Medium (reduced from High by existing controls)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Risk Appetite Alignment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(select)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Compare residual risk against the organization's stated risk appetite for AI systems.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Select one: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Within appetite  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At threshold  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Exceeds appetite (escalation required)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Governance Decision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(select)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The formal decision based on the risk assessment. "Approved with conditions" requires specific conditions to be documented.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Select one: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Approved  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Approved with conditions  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Deferred pending mitigations  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Rejected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Escalation Triggers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(checklist)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Define specific conditions that trigger re-assessment. These should be measurable and monitorable.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Model performance drops below [threshold]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Bias disparity exceeds [percentage] across any protected group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Data quality score falls below [threshold]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Incident involving this system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Regulatory inquiry or audit finding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Material change to system inputs or architecture</w:t>
      </w:r>
    </w:p>
    <w:p>
      <w:pPr>
        <w:pageBreakBefore/>
      </w:pPr>
    </w:p>
    <w:p>
      <w:pPr>
        <w:pStyle w:val="Heading2"/>
        <w:pBdr>
          <w:bottom w:val="single" w:color="E8891D" w:sz="3"/>
        </w:pBdr>
        <w:spacing w:after="200" w:before="400"/>
      </w:pPr>
      <w:r>
        <w:rPr>
          <w:rFonts w:ascii="Calibri" w:cs="Calibri" w:eastAsia="Calibri" w:hAnsi="Calibri"/>
          <w:b/>
          <w:bCs/>
          <w:color w:val="0F1B2D"/>
          <w:sz w:val="28"/>
          <w:szCs w:val="28"/>
        </w:rPr>
        <w:t xml:space="preserve">Frequently Asked Questions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Q: Who should be involved in an AI risk assessment?</w:t>
      </w:r>
    </w:p>
    <w:p>
      <w:pPr>
        <w:spacing w:after="15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At minimum: the business owner (understands the use case context), a data scientist (understands the technical implementation), a risk/compliance professional (understands the risk framework), and legal counsel (understands regulatory implications). For high-risk systems, include affected stakeholder representatives and external domain experts.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Q: How is this different from a standard IT risk assessment?</w:t>
      </w:r>
    </w:p>
    <w:p>
      <w:pPr>
        <w:spacing w:after="15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AI risk assessments must address AI-specific risks that IT risk assessments typically miss: bias and fairness, model drift, training data quality, explainability requirements, emergent behaviors, and the unique liability questions around AI-generated outputs. This template adds these dimensions while maintaining compatibility with standard risk frameworks.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Q: How often should risk assessments be refreshed?</w:t>
      </w:r>
    </w:p>
    <w:p>
      <w:pPr>
        <w:spacing w:after="15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Trigger-based: reassess when the system changes materially (new data sources, retrained model, expanded scope, new regulations). Cadence-based: critical systems quarterly, high-risk semi-annually, others annually. Always reassess after an incident involving the system.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 w:start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B7280"/>
        <w:sz w:val="16"/>
        <w:szCs w:val="16"/>
      </w:rPr>
      <w:t xml:space="preserve">© 2026 FlowRidge — COMPEL Framework  |  www.compelframework.org  |  Page </w:t>
    </w:r>
    <w:r>
      <w:rPr>
        <w:rFonts w:ascii="Calibri" w:cs="Calibri" w:eastAsia="Calibri" w:hAnsi="Calibri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color w:val="6B7280"/>
        <w:sz w:val="16"/>
        <w:szCs w:val="16"/>
      </w:rPr>
      <w:t xml:space="preserve">Risk Assessment Template — EA-003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fbeb22816feb5705540a7a33df9afd81c5a72173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2026-04-12T23:59:42.100Z</dcterms:created>
  <dcterms:modified xsi:type="dcterms:W3CDTF">2026-04-12T23:59:42.100Z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