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143000" cy="1238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0" cy="1238250"/>
                    </a:xfrm>
                    <a:prstGeom prst="rect">
                      <a:avLst/>
                    </a:prstGeom>
                  </pic:spPr>
                </pic:pic>
              </a:graphicData>
            </a:graphic>
          </wp:inline>
        </w:drawing>
      </w:r>
    </w:p>
    <w:p>
      <w:pPr>
        <w:spacing w:after="100"/>
        <w:jc w:val="center"/>
      </w:pPr>
      <w:r>
        <w:rPr>
          <w:rFonts w:ascii="Calibri" w:cs="Calibri" w:eastAsia="Calibri" w:hAnsi="Calibri"/>
          <w:b/>
          <w:bCs/>
          <w:color w:val="0F1B2D"/>
          <w:sz w:val="52"/>
          <w:szCs w:val="52"/>
        </w:rPr>
        <w:t xml:space="preserve">AI Policy Template</w:t>
      </w:r>
    </w:p>
    <w:p>
      <w:pPr>
        <w:spacing w:after="200"/>
        <w:jc w:val="center"/>
      </w:pPr>
      <w:r>
        <w:rPr>
          <w:rFonts w:ascii="Calibri" w:cs="Calibri" w:eastAsia="Calibri" w:hAnsi="Calibri"/>
          <w:i/>
          <w:iCs/>
          <w:color w:val="6B7280"/>
          <w:sz w:val="28"/>
          <w:szCs w:val="28"/>
        </w:rPr>
        <w:t xml:space="preserve">Enterprise AI Use Policy Document</w:t>
      </w:r>
    </w:p>
    <w:p>
      <w:pPr>
        <w:spacing w:after="100"/>
        <w:jc w:val="center"/>
      </w:pPr>
      <w:r>
        <w:rPr>
          <w:rFonts w:ascii="Calibri" w:cs="Calibri" w:eastAsia="Calibri" w:hAnsi="Calibri"/>
          <w:b/>
          <w:bCs/>
          <w:color w:val="8B5CF6"/>
          <w:sz w:val="22"/>
          <w:szCs w:val="22"/>
        </w:rPr>
        <w:t xml:space="preserve">COMPEL Stage: Model</w:t>
      </w:r>
    </w:p>
    <w:p>
      <w:pPr>
        <w:spacing w:after="200"/>
        <w:jc w:val="center"/>
      </w:pPr>
      <w:r>
        <w:rPr>
          <w:rFonts w:ascii="Calibri Light" w:cs="Calibri Light" w:eastAsia="Calibri Light" w:hAnsi="Calibri Light"/>
          <w:color w:val="6B7280"/>
          <w:sz w:val="20"/>
          <w:szCs w:val="20"/>
        </w:rPr>
        <w:t xml:space="preserve">EA-001</w:t>
      </w:r>
    </w:p>
    <w:p>
      <w:pPr>
        <w:spacing w:after="400" w:before="200"/>
        <w:jc w:val="center"/>
      </w:pPr>
      <w:r>
        <w:rPr>
          <w:rFonts w:ascii="Calibri" w:cs="Calibri" w:eastAsia="Calibri" w:hAnsi="Calibri"/>
          <w:color w:val="374151"/>
          <w:sz w:val="22"/>
          <w:szCs w:val="22"/>
        </w:rPr>
        <w:t xml:space="preserve">A comprehensive enterprise AI use policy covering purpose, scope, guiding principles, roles and responsibilities, acceptable and prohibited uses, incident reporting, and review cycle. This template provides the foundation document that every AI governance program requires.</w:t>
      </w:r>
    </w:p>
    <w:p>
      <w:pPr>
        <w:pBdr>
          <w:bottom w:val="single" w:color="E8891D" w:sz="6"/>
        </w:pBdr>
        <w:spacing w:after="200"/>
        <w:jc w:val="center"/>
      </w:pPr>
      <w:r>
        <w:t xml:space="preserve"/>
      </w:r>
    </w:p>
    <w:p>
      <w:pPr>
        <w:spacing w:after="100"/>
        <w:jc w:val="center"/>
      </w:pPr>
      <w:r>
        <w:rPr>
          <w:rFonts w:ascii="Calibri" w:cs="Calibri" w:eastAsia="Calibri" w:hAnsi="Calibri"/>
          <w:b/>
          <w:bCs/>
          <w:color w:val="0F1B2D"/>
          <w:sz w:val="20"/>
          <w:szCs w:val="20"/>
        </w:rPr>
        <w:t xml:space="preserve">COMPEL Domains: </w:t>
      </w:r>
      <w:r>
        <w:rPr>
          <w:rFonts w:ascii="Calibri" w:cs="Calibri" w:eastAsia="Calibri" w:hAnsi="Calibri"/>
          <w:color w:val="6B7280"/>
          <w:sz w:val="20"/>
          <w:szCs w:val="20"/>
        </w:rPr>
        <w:t xml:space="preserve">D14: AI Strategy Alignment  |  D15: Ethics &amp; Fairness  |  D18: Governance Structure</w:t>
      </w:r>
    </w:p>
    <w:p>
      <w:pPr>
        <w:spacing w:after="600"/>
        <w:jc w:val="center"/>
      </w:pPr>
      <w:r>
        <w:rPr>
          <w:rFonts w:ascii="Calibri" w:cs="Calibri" w:eastAsia="Calibri" w:hAnsi="Calibri"/>
          <w:b/>
          <w:bCs/>
          <w:color w:val="0F1B2D"/>
          <w:sz w:val="20"/>
          <w:szCs w:val="20"/>
        </w:rPr>
        <w:t xml:space="preserve">Standards: </w:t>
      </w:r>
      <w:r>
        <w:rPr>
          <w:rFonts w:ascii="Calibri" w:cs="Calibri" w:eastAsia="Calibri" w:hAnsi="Calibri"/>
          <w:color w:val="6B7280"/>
          <w:sz w:val="20"/>
          <w:szCs w:val="20"/>
        </w:rPr>
        <w:t xml:space="preserve">ISO 42001 Clause 5.2  |  ISO 42001 Annex A.2  |  NIST AI RMF GOVERN 1.1  |  NIST AI RMF GOVERN 1.2  |  EU AI Act Article 9(1)</w:t>
      </w:r>
    </w:p>
    <w:p>
      <w:pPr>
        <w:spacing w:after="100" w:before="200"/>
        <w:jc w:val="left"/>
      </w:pPr>
      <w:r>
        <w:rPr>
          <w:rFonts w:ascii="Calibri" w:cs="Calibri" w:eastAsia="Calibri" w:hAnsi="Calibri"/>
          <w:b/>
          <w:bCs/>
          <w:color w:val="0F1B2D"/>
          <w:sz w:val="24"/>
          <w:szCs w:val="24"/>
        </w:rPr>
        <w:t xml:space="preserve">How to Use This Template</w:t>
      </w:r>
    </w:p>
    <w:p>
      <w:pPr>
        <w:spacing w:after="100"/>
      </w:pPr>
      <w:r>
        <w:rPr>
          <w:rFonts w:ascii="Calibri" w:cs="Calibri" w:eastAsia="Calibri" w:hAnsi="Calibri"/>
          <w:color w:val="374151"/>
          <w:sz w:val="20"/>
          <w:szCs w:val="20"/>
        </w:rPr>
        <w:t xml:space="preserve">1. Fill in each section below with your organization's information.</w:t>
      </w:r>
    </w:p>
    <w:p>
      <w:pPr>
        <w:spacing w:after="100"/>
      </w:pPr>
      <w:r>
        <w:rPr>
          <w:rFonts w:ascii="Calibri" w:cs="Calibri" w:eastAsia="Calibri" w:hAnsi="Calibri"/>
          <w:color w:val="374151"/>
          <w:sz w:val="20"/>
          <w:szCs w:val="20"/>
        </w:rPr>
        <w:t xml:space="preserve">2. Replace placeholder text (shown in italics) with your actual content.</w:t>
      </w:r>
    </w:p>
    <w:p>
      <w:pPr>
        <w:spacing w:after="100"/>
      </w:pPr>
      <w:r>
        <w:rPr>
          <w:rFonts w:ascii="Calibri" w:cs="Calibri" w:eastAsia="Calibri" w:hAnsi="Calibri"/>
          <w:color w:val="374151"/>
          <w:sz w:val="20"/>
          <w:szCs w:val="20"/>
        </w:rPr>
        <w:t xml:space="preserve">3. Guidance notes (in gray boxes) provide instructions — delete them from your final version.</w:t>
      </w:r>
    </w:p>
    <w:p>
      <w:pPr>
        <w:spacing w:after="400"/>
      </w:pPr>
      <w:r>
        <w:rPr>
          <w:rFonts w:ascii="Calibri" w:cs="Calibri" w:eastAsia="Calibri" w:hAnsi="Calibri"/>
          <w:color w:val="374151"/>
          <w:sz w:val="20"/>
          <w:szCs w:val="20"/>
        </w:rPr>
        <w:t xml:space="preserve">4. Standards references help auditors map your evidence to compliance requirements.</w:t>
      </w:r>
    </w:p>
    <w:p>
      <w:pPr>
        <w:pageBreakBefore/>
      </w:pPr>
    </w:p>
    <w:p>
      <w:pPr>
        <w:pStyle w:val="Heading2"/>
        <w:pBdr>
          <w:bottom w:val="single" w:color="0B9B8A" w:sz="3"/>
        </w:pBdr>
        <w:spacing w:after="100" w:before="400"/>
      </w:pPr>
      <w:r>
        <w:rPr>
          <w:rFonts w:ascii="Calibri" w:cs="Calibri" w:eastAsia="Calibri" w:hAnsi="Calibri"/>
          <w:b/>
          <w:bCs/>
          <w:color w:val="0F1B2D"/>
          <w:sz w:val="28"/>
          <w:szCs w:val="28"/>
        </w:rPr>
        <w:t xml:space="preserve">Policy Header</w:t>
      </w:r>
    </w:p>
    <w:p>
      <w:pPr>
        <w:spacing w:after="200"/>
      </w:pPr>
      <w:r>
        <w:rPr>
          <w:rFonts w:ascii="Calibri" w:cs="Calibri" w:eastAsia="Calibri" w:hAnsi="Calibri"/>
          <w:i/>
          <w:iCs/>
          <w:color w:val="6B7280"/>
          <w:sz w:val="20"/>
          <w:szCs w:val="20"/>
        </w:rPr>
        <w:t xml:space="preserve">Document control information for version tracking, ownership, and approval.</w:t>
      </w:r>
    </w:p>
    <w:p>
      <w:pPr>
        <w:spacing w:after="50" w:before="200"/>
      </w:pPr>
      <w:r>
        <w:rPr>
          <w:rFonts w:ascii="Calibri" w:cs="Calibri" w:eastAsia="Calibri" w:hAnsi="Calibri"/>
          <w:b/>
          <w:bCs/>
          <w:color w:val="0F1B2D"/>
          <w:sz w:val="22"/>
          <w:szCs w:val="22"/>
        </w:rPr>
        <w:t xml:space="preserve">Policy Title</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Use a clear, unambiguous title that specifies the scope (enterprise-wide vs. business unit).</w:t>
      </w:r>
    </w:p>
    <w:p>
      <w:pPr>
        <w:pBdr>
          <w:bottom w:val="single" w:color="E5E7EB" w:sz="1"/>
        </w:pBdr>
        <w:spacing w:after="100"/>
      </w:pPr>
      <w:r>
        <w:rPr>
          <w:rFonts w:ascii="Calibri" w:cs="Calibri" w:eastAsia="Calibri" w:hAnsi="Calibri"/>
          <w:i/>
          <w:iCs/>
          <w:color w:val="E5E7EB"/>
          <w:sz w:val="20"/>
          <w:szCs w:val="20"/>
        </w:rPr>
        <w:t xml:space="preserve">Enterprise Artificial Intelligence Use Policy</w:t>
      </w:r>
    </w:p>
    <w:p>
      <w:pPr>
        <w:spacing w:after="50" w:before="200"/>
      </w:pPr>
      <w:r>
        <w:rPr>
          <w:rFonts w:ascii="Calibri" w:cs="Calibri" w:eastAsia="Calibri" w:hAnsi="Calibri"/>
          <w:b/>
          <w:bCs/>
          <w:color w:val="0F1B2D"/>
          <w:sz w:val="22"/>
          <w:szCs w:val="22"/>
        </w:rPr>
        <w:t xml:space="preserve">Document ID</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Follow your organization's document numbering scheme.</w:t>
      </w:r>
    </w:p>
    <w:p>
      <w:pPr>
        <w:pBdr>
          <w:bottom w:val="single" w:color="E5E7EB" w:sz="1"/>
        </w:pBdr>
        <w:spacing w:after="100"/>
      </w:pPr>
      <w:r>
        <w:rPr>
          <w:rFonts w:ascii="Calibri" w:cs="Calibri" w:eastAsia="Calibri" w:hAnsi="Calibri"/>
          <w:i/>
          <w:iCs/>
          <w:color w:val="E5E7EB"/>
          <w:sz w:val="20"/>
          <w:szCs w:val="20"/>
        </w:rPr>
        <w:t xml:space="preserve">POL-AI-001</w:t>
      </w:r>
    </w:p>
    <w:p>
      <w:pPr>
        <w:spacing w:after="50" w:before="200"/>
      </w:pPr>
      <w:r>
        <w:rPr>
          <w:rFonts w:ascii="Calibri" w:cs="Calibri" w:eastAsia="Calibri" w:hAnsi="Calibri"/>
          <w:b/>
          <w:bCs/>
          <w:color w:val="0F1B2D"/>
          <w:sz w:val="22"/>
          <w:szCs w:val="22"/>
        </w:rPr>
        <w:t xml:space="preserve">Version</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Use semantic versioning. Major version for structural changes, minor for updates.</w:t>
      </w:r>
    </w:p>
    <w:p>
      <w:pPr>
        <w:pBdr>
          <w:bottom w:val="single" w:color="E5E7EB" w:sz="1"/>
        </w:pBdr>
        <w:spacing w:after="100"/>
      </w:pPr>
      <w:r>
        <w:rPr>
          <w:rFonts w:ascii="Calibri" w:cs="Calibri" w:eastAsia="Calibri" w:hAnsi="Calibri"/>
          <w:i/>
          <w:iCs/>
          <w:color w:val="E5E7EB"/>
          <w:sz w:val="20"/>
          <w:szCs w:val="20"/>
        </w:rPr>
        <w:t xml:space="preserve">1.0</w:t>
      </w:r>
    </w:p>
    <w:p>
      <w:pPr>
        <w:spacing w:after="50" w:before="200"/>
      </w:pPr>
      <w:r>
        <w:rPr>
          <w:rFonts w:ascii="Calibri" w:cs="Calibri" w:eastAsia="Calibri" w:hAnsi="Calibri"/>
          <w:b/>
          <w:bCs/>
          <w:color w:val="0F1B2D"/>
          <w:sz w:val="22"/>
          <w:szCs w:val="22"/>
        </w:rPr>
        <w:t xml:space="preserve">Effective Date</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Date from which this policy is enforceable. Allow adequate communication lead time.</w:t>
      </w:r>
    </w:p>
    <w:p>
      <w:pPr>
        <w:pBdr>
          <w:bottom w:val="single" w:color="E5E7EB" w:sz="1"/>
        </w:pBdr>
        <w:spacing w:after="100"/>
      </w:pPr>
      <w:r>
        <w:rPr>
          <w:rFonts w:ascii="Calibri" w:cs="Calibri" w:eastAsia="Calibri" w:hAnsi="Calibri"/>
          <w:i/>
          <w:iCs/>
          <w:color w:val="E5E7EB"/>
          <w:sz w:val="20"/>
          <w:szCs w:val="20"/>
        </w:rPr>
        <w:t xml:space="preserve">YYYY-MM-DD</w:t>
      </w:r>
    </w:p>
    <w:p>
      <w:pPr>
        <w:spacing w:after="50" w:before="200"/>
      </w:pPr>
      <w:r>
        <w:rPr>
          <w:rFonts w:ascii="Calibri" w:cs="Calibri" w:eastAsia="Calibri" w:hAnsi="Calibri"/>
          <w:b/>
          <w:bCs/>
          <w:color w:val="0F1B2D"/>
          <w:sz w:val="22"/>
          <w:szCs w:val="22"/>
        </w:rPr>
        <w:t xml:space="preserve">Policy Owner</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Name the individual role accountable for maintaining and enforcing this policy.</w:t>
      </w:r>
    </w:p>
    <w:p>
      <w:pPr>
        <w:pBdr>
          <w:bottom w:val="single" w:color="E5E7EB" w:sz="1"/>
        </w:pBdr>
        <w:spacing w:after="100"/>
      </w:pPr>
      <w:r>
        <w:rPr>
          <w:rFonts w:ascii="Calibri" w:cs="Calibri" w:eastAsia="Calibri" w:hAnsi="Calibri"/>
          <w:i/>
          <w:iCs/>
          <w:color w:val="E5E7EB"/>
          <w:sz w:val="20"/>
          <w:szCs w:val="20"/>
        </w:rPr>
        <w:t xml:space="preserve">Chief AI Officer / Head of AI Governance</w:t>
      </w:r>
    </w:p>
    <w:p>
      <w:pPr>
        <w:spacing w:after="50" w:before="200"/>
      </w:pPr>
      <w:r>
        <w:rPr>
          <w:rFonts w:ascii="Calibri" w:cs="Calibri" w:eastAsia="Calibri" w:hAnsi="Calibri"/>
          <w:b/>
          <w:bCs/>
          <w:color w:val="0F1B2D"/>
          <w:sz w:val="22"/>
          <w:szCs w:val="22"/>
        </w:rPr>
        <w:t xml:space="preserve">Approved By</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Policy must have executive-level approval to ensure enforcement authority.</w:t>
      </w:r>
    </w:p>
    <w:p>
      <w:pPr>
        <w:pBdr>
          <w:bottom w:val="single" w:color="E5E7EB" w:sz="1"/>
        </w:pBdr>
        <w:spacing w:after="100"/>
      </w:pPr>
      <w:r>
        <w:rPr>
          <w:rFonts w:ascii="Calibri" w:cs="Calibri" w:eastAsia="Calibri" w:hAnsi="Calibri"/>
          <w:i/>
          <w:iCs/>
          <w:color w:val="E5E7EB"/>
          <w:sz w:val="20"/>
          <w:szCs w:val="20"/>
        </w:rPr>
        <w:t xml:space="preserve">Board of Directors / Executive Committee</w:t>
      </w:r>
    </w:p>
    <w:p>
      <w:pPr>
        <w:spacing w:after="50" w:before="200"/>
      </w:pPr>
      <w:r>
        <w:rPr>
          <w:rFonts w:ascii="Calibri" w:cs="Calibri" w:eastAsia="Calibri" w:hAnsi="Calibri"/>
          <w:b/>
          <w:bCs/>
          <w:color w:val="0F1B2D"/>
          <w:sz w:val="22"/>
          <w:szCs w:val="22"/>
        </w:rPr>
        <w:t xml:space="preserve">Review Cycle</w:t>
      </w:r>
      <w:r>
        <w:rPr>
          <w:rFonts w:ascii="Calibri" w:cs="Calibri" w:eastAsia="Calibri" w:hAnsi="Calibri"/>
          <w:color w:val="6B7280"/>
          <w:sz w:val="18"/>
          <w:szCs w:val="18"/>
        </w:rPr>
        <w:t xml:space="preserve"> (select)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ISO 42001 requires periodic review. Annual is minimum; regulated industries may need quarterly.</w:t>
      </w:r>
    </w:p>
    <w:p>
      <w:pPr>
        <w:spacing w:after="50"/>
      </w:pPr>
      <w:r>
        <w:rPr>
          <w:rFonts w:ascii="Calibri" w:cs="Calibri" w:eastAsia="Calibri" w:hAnsi="Calibri"/>
          <w:i/>
          <w:iCs/>
          <w:color w:val="6B7280"/>
          <w:sz w:val="18"/>
          <w:szCs w:val="18"/>
        </w:rPr>
        <w:t xml:space="preserve">Select one:  </w:t>
      </w:r>
      <w:r>
        <w:rPr>
          <w:rFonts w:ascii="Calibri" w:cs="Calibri" w:eastAsia="Calibri" w:hAnsi="Calibri"/>
          <w:color w:val="374151"/>
          <w:sz w:val="20"/>
          <w:szCs w:val="20"/>
        </w:rPr>
        <w:t xml:space="preserve">☐ Annual    </w:t>
      </w:r>
      <w:r>
        <w:rPr>
          <w:rFonts w:ascii="Calibri" w:cs="Calibri" w:eastAsia="Calibri" w:hAnsi="Calibri"/>
          <w:color w:val="374151"/>
          <w:sz w:val="20"/>
          <w:szCs w:val="20"/>
        </w:rPr>
        <w:t xml:space="preserve">☐ Semi-annual    </w:t>
      </w:r>
      <w:r>
        <w:rPr>
          <w:rFonts w:ascii="Calibri" w:cs="Calibri" w:eastAsia="Calibri" w:hAnsi="Calibri"/>
          <w:color w:val="374151"/>
          <w:sz w:val="20"/>
          <w:szCs w:val="20"/>
        </w:rPr>
        <w:t xml:space="preserve">☐ Quarterly</w:t>
      </w:r>
    </w:p>
    <w:p>
      <w:pPr>
        <w:spacing w:after="50" w:before="200"/>
      </w:pPr>
      <w:r>
        <w:rPr>
          <w:rFonts w:ascii="Calibri" w:cs="Calibri" w:eastAsia="Calibri" w:hAnsi="Calibri"/>
          <w:b/>
          <w:bCs/>
          <w:color w:val="0F1B2D"/>
          <w:sz w:val="22"/>
          <w:szCs w:val="22"/>
        </w:rPr>
        <w:t xml:space="preserve">Classification</w:t>
      </w:r>
      <w:r>
        <w:rPr>
          <w:rFonts w:ascii="Calibri" w:cs="Calibri" w:eastAsia="Calibri" w:hAnsi="Calibri"/>
          <w:color w:val="6B7280"/>
          <w:sz w:val="18"/>
          <w:szCs w:val="18"/>
        </w:rPr>
        <w:t xml:space="preserve"> (select)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Classify per your information security framework.</w:t>
      </w:r>
    </w:p>
    <w:p>
      <w:pPr>
        <w:spacing w:after="50"/>
      </w:pPr>
      <w:r>
        <w:rPr>
          <w:rFonts w:ascii="Calibri" w:cs="Calibri" w:eastAsia="Calibri" w:hAnsi="Calibri"/>
          <w:i/>
          <w:iCs/>
          <w:color w:val="6B7280"/>
          <w:sz w:val="18"/>
          <w:szCs w:val="18"/>
        </w:rPr>
        <w:t xml:space="preserve">Select one:  </w:t>
      </w:r>
      <w:r>
        <w:rPr>
          <w:rFonts w:ascii="Calibri" w:cs="Calibri" w:eastAsia="Calibri" w:hAnsi="Calibri"/>
          <w:color w:val="374151"/>
          <w:sz w:val="20"/>
          <w:szCs w:val="20"/>
        </w:rPr>
        <w:t xml:space="preserve">☐ Internal    </w:t>
      </w:r>
      <w:r>
        <w:rPr>
          <w:rFonts w:ascii="Calibri" w:cs="Calibri" w:eastAsia="Calibri" w:hAnsi="Calibri"/>
          <w:color w:val="374151"/>
          <w:sz w:val="20"/>
          <w:szCs w:val="20"/>
        </w:rPr>
        <w:t xml:space="preserve">☐ Confidential    </w:t>
      </w:r>
      <w:r>
        <w:rPr>
          <w:rFonts w:ascii="Calibri" w:cs="Calibri" w:eastAsia="Calibri" w:hAnsi="Calibri"/>
          <w:color w:val="374151"/>
          <w:sz w:val="20"/>
          <w:szCs w:val="20"/>
        </w:rPr>
        <w:t xml:space="preserve">☐ Public</w:t>
      </w:r>
    </w:p>
    <w:p>
      <w:pPr>
        <w:pStyle w:val="Heading2"/>
        <w:pBdr>
          <w:bottom w:val="single" w:color="0B9B8A" w:sz="3"/>
        </w:pBdr>
        <w:spacing w:after="100" w:before="400"/>
      </w:pPr>
      <w:r>
        <w:rPr>
          <w:rFonts w:ascii="Calibri" w:cs="Calibri" w:eastAsia="Calibri" w:hAnsi="Calibri"/>
          <w:b/>
          <w:bCs/>
          <w:color w:val="0F1B2D"/>
          <w:sz w:val="28"/>
          <w:szCs w:val="28"/>
        </w:rPr>
        <w:t xml:space="preserve">Purpose and Scope</w:t>
      </w:r>
    </w:p>
    <w:p>
      <w:pPr>
        <w:spacing w:after="200"/>
      </w:pPr>
      <w:r>
        <w:rPr>
          <w:rFonts w:ascii="Calibri" w:cs="Calibri" w:eastAsia="Calibri" w:hAnsi="Calibri"/>
          <w:i/>
          <w:iCs/>
          <w:color w:val="6B7280"/>
          <w:sz w:val="20"/>
          <w:szCs w:val="20"/>
        </w:rPr>
        <w:t xml:space="preserve">Define why this policy exists and who/what it applies to.</w:t>
      </w:r>
    </w:p>
    <w:p>
      <w:pPr>
        <w:spacing w:after="50" w:before="200"/>
      </w:pPr>
      <w:r>
        <w:rPr>
          <w:rFonts w:ascii="Calibri" w:cs="Calibri" w:eastAsia="Calibri" w:hAnsi="Calibri"/>
          <w:b/>
          <w:bCs/>
          <w:color w:val="0F1B2D"/>
          <w:sz w:val="22"/>
          <w:szCs w:val="22"/>
        </w:rPr>
        <w:t xml:space="preserve">Purpose Statement</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State the business rationale: risk management, regulatory compliance, responsible innovation. Be specific about what the policy aims to achieve.</w:t>
      </w:r>
    </w:p>
    <w:p>
      <w:pPr>
        <w:spacing w:after="50"/>
      </w:pPr>
      <w:r>
        <w:rPr>
          <w:rFonts w:ascii="Calibri" w:cs="Calibri" w:eastAsia="Calibri" w:hAnsi="Calibri"/>
          <w:i/>
          <w:iCs/>
          <w:color w:val="E5E7EB"/>
          <w:sz w:val="20"/>
          <w:szCs w:val="20"/>
        </w:rPr>
        <w:t xml:space="preserve">This policy establishes the principles, standards, and requirements governing the development, procurement, deployment, and use of Artificial Intelligence systems across [Organization Name].</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Scope</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Be explicit about who is covered. Include third-party AI tools (SaaS, APIs), embedded AI in vendor products, and internally developed models.</w:t>
      </w:r>
    </w:p>
    <w:p>
      <w:pPr>
        <w:spacing w:after="50"/>
      </w:pPr>
      <w:r>
        <w:rPr>
          <w:rFonts w:ascii="Calibri" w:cs="Calibri" w:eastAsia="Calibri" w:hAnsi="Calibri"/>
          <w:i/>
          <w:iCs/>
          <w:color w:val="E5E7EB"/>
          <w:sz w:val="20"/>
          <w:szCs w:val="20"/>
        </w:rPr>
        <w:t xml:space="preserve">This policy applies to all employees, contractors, vendors, and third parties who develop, procure, deploy, operate, or use AI systems on behalf of [Organization Name].</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Definitions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"AI system" using the OECD/EU AI Act definition to ensure regulatory alignment. Also define "AI use case," "high-risk AI," and other key terms.</w:t>
      </w:r>
    </w:p>
    <w:p>
      <w:pPr>
        <w:spacing w:after="50"/>
      </w:pPr>
      <w:r>
        <w:rPr>
          <w:rFonts w:ascii="Calibri" w:cs="Calibri" w:eastAsia="Calibri" w:hAnsi="Calibri"/>
          <w:i/>
          <w:iCs/>
          <w:color w:val="E5E7EB"/>
          <w:sz w:val="20"/>
          <w:szCs w:val="20"/>
        </w:rPr>
        <w:t xml:space="preserve">AI System: A machine-based system that generates outputs such as predictions, recommendations, decisions, or content that can influence physical or virtual environments. (Aligned with OECD/EU AI Act definition)</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Out of Scope</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Clearly state what is NOT covered to prevent scope ambiguity.</w:t>
      </w:r>
    </w:p>
    <w:p>
      <w:pPr>
        <w:spacing w:after="50"/>
      </w:pPr>
      <w:r>
        <w:rPr>
          <w:rFonts w:ascii="Calibri" w:cs="Calibri" w:eastAsia="Calibri" w:hAnsi="Calibri"/>
          <w:i/>
          <w:iCs/>
          <w:color w:val="E5E7EB"/>
          <w:sz w:val="20"/>
          <w:szCs w:val="20"/>
        </w:rPr>
        <w:t xml:space="preserve">Traditional business intelligence dashboards without predictive components; standard rule-based automation without learning capability.</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Guiding Principles</w:t>
      </w:r>
    </w:p>
    <w:p>
      <w:pPr>
        <w:spacing w:after="200"/>
      </w:pPr>
      <w:r>
        <w:rPr>
          <w:rFonts w:ascii="Calibri" w:cs="Calibri" w:eastAsia="Calibri" w:hAnsi="Calibri"/>
          <w:i/>
          <w:iCs/>
          <w:color w:val="6B7280"/>
          <w:sz w:val="20"/>
          <w:szCs w:val="20"/>
        </w:rPr>
        <w:t xml:space="preserve">Core principles that guide all AI development and use within the organization.</w:t>
      </w:r>
    </w:p>
    <w:p>
      <w:pPr>
        <w:spacing w:after="50" w:before="200"/>
      </w:pPr>
      <w:r>
        <w:rPr>
          <w:rFonts w:ascii="Calibri" w:cs="Calibri" w:eastAsia="Calibri" w:hAnsi="Calibri"/>
          <w:b/>
          <w:bCs/>
          <w:color w:val="0F1B2D"/>
          <w:sz w:val="22"/>
          <w:szCs w:val="22"/>
        </w:rPr>
        <w:t xml:space="preserve">Transparency</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Map to NIST AI RMF trustworthy AI characteristics and EU AI Act transparency requirements (Articles 13, 52).</w:t>
      </w:r>
    </w:p>
    <w:p>
      <w:pPr>
        <w:spacing w:after="50"/>
      </w:pPr>
      <w:r>
        <w:rPr>
          <w:rFonts w:ascii="Calibri" w:cs="Calibri" w:eastAsia="Calibri" w:hAnsi="Calibri"/>
          <w:i/>
          <w:iCs/>
          <w:color w:val="E5E7EB"/>
          <w:sz w:val="20"/>
          <w:szCs w:val="20"/>
        </w:rPr>
        <w:t xml:space="preserve">All AI systems shall maintain appropriate levels of transparency regarding their purpose, capabilities, limitations, and decision-making processes. Stakeholders affected by AI decisions must be informed that AI is being used.</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Fairness and Non-Discrimination</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Reference applicable anti-discrimination legislation and ISO 42001 Annex A.7 (AI system impact assessment).</w:t>
      </w:r>
    </w:p>
    <w:p>
      <w:pPr>
        <w:spacing w:after="50"/>
      </w:pPr>
      <w:r>
        <w:rPr>
          <w:rFonts w:ascii="Calibri" w:cs="Calibri" w:eastAsia="Calibri" w:hAnsi="Calibri"/>
          <w:i/>
          <w:iCs/>
          <w:color w:val="E5E7EB"/>
          <w:sz w:val="20"/>
          <w:szCs w:val="20"/>
        </w:rPr>
        <w:t xml:space="preserve">AI systems shall be designed, tested, and monitored to minimize bias and ensure equitable outcomes across demographic groups. No AI system shall discriminate based on protected characteristics.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Accountability</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Align with EU AI Act Article 14 (human oversight) and ISO 42001 Clause 5.3 (organizational roles).</w:t>
      </w:r>
    </w:p>
    <w:p>
      <w:pPr>
        <w:spacing w:after="50"/>
      </w:pPr>
      <w:r>
        <w:rPr>
          <w:rFonts w:ascii="Calibri" w:cs="Calibri" w:eastAsia="Calibri" w:hAnsi="Calibri"/>
          <w:i/>
          <w:iCs/>
          <w:color w:val="E5E7EB"/>
          <w:sz w:val="20"/>
          <w:szCs w:val="20"/>
        </w:rPr>
        <w:t xml:space="preserve">Every AI system shall have a designated owner accountable for its governance, performance, and compliance. Human oversight shall be maintained for all high-risk AI decisions.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Safety and Security</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Reference ISO 42001 Annex A.6 (risk assessment) and NIST AI RMF MANAGE function.</w:t>
      </w:r>
    </w:p>
    <w:p>
      <w:pPr>
        <w:spacing w:after="50"/>
      </w:pPr>
      <w:r>
        <w:rPr>
          <w:rFonts w:ascii="Calibri" w:cs="Calibri" w:eastAsia="Calibri" w:hAnsi="Calibri"/>
          <w:i/>
          <w:iCs/>
          <w:color w:val="E5E7EB"/>
          <w:sz w:val="20"/>
          <w:szCs w:val="20"/>
        </w:rPr>
        <w:t xml:space="preserve">AI systems shall be designed and operated to minimize risks to physical safety, data security, and organizational resilience. Security controls shall be proportionate to the risk classification of each system.</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Privacy</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Cross-reference your data protection policy. Ensure alignment with GDPR Article 22 (automated decision-making) where applicable.</w:t>
      </w:r>
    </w:p>
    <w:p>
      <w:pPr>
        <w:spacing w:after="50"/>
      </w:pPr>
      <w:r>
        <w:rPr>
          <w:rFonts w:ascii="Calibri" w:cs="Calibri" w:eastAsia="Calibri" w:hAnsi="Calibri"/>
          <w:i/>
          <w:iCs/>
          <w:color w:val="E5E7EB"/>
          <w:sz w:val="20"/>
          <w:szCs w:val="20"/>
        </w:rPr>
        <w:t xml:space="preserve">AI systems shall comply with all applicable data protection regulations. Personal data used in training, inference, or evaluation shall be processed lawfully with appropriate safeguards.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Sustainability</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Emerging requirement in EU AI Act recitals and ISO 42001 Annex A.4. Include where organizational ESG commitments exist.</w:t>
      </w:r>
    </w:p>
    <w:p>
      <w:pPr>
        <w:spacing w:after="50"/>
      </w:pPr>
      <w:r>
        <w:rPr>
          <w:rFonts w:ascii="Calibri" w:cs="Calibri" w:eastAsia="Calibri" w:hAnsi="Calibri"/>
          <w:i/>
          <w:iCs/>
          <w:color w:val="E5E7EB"/>
          <w:sz w:val="20"/>
          <w:szCs w:val="20"/>
        </w:rPr>
        <w:t xml:space="preserve">The environmental impact of AI systems, including computational resource consumption and energy use, shall be considered in procurement and deployment decisions.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Roles and Responsibilities</w:t>
      </w:r>
    </w:p>
    <w:p>
      <w:pPr>
        <w:spacing w:after="200"/>
      </w:pPr>
      <w:r>
        <w:rPr>
          <w:rFonts w:ascii="Calibri" w:cs="Calibri" w:eastAsia="Calibri" w:hAnsi="Calibri"/>
          <w:i/>
          <w:iCs/>
          <w:color w:val="6B7280"/>
          <w:sz w:val="20"/>
          <w:szCs w:val="20"/>
        </w:rPr>
        <w:t xml:space="preserve">Define who is responsible for AI governance activities.</w:t>
      </w:r>
    </w:p>
    <w:p>
      <w:pPr>
        <w:spacing w:after="50" w:before="200"/>
      </w:pPr>
      <w:r>
        <w:rPr>
          <w:rFonts w:ascii="Calibri" w:cs="Calibri" w:eastAsia="Calibri" w:hAnsi="Calibri"/>
          <w:b/>
          <w:bCs/>
          <w:color w:val="0F1B2D"/>
          <w:sz w:val="22"/>
          <w:szCs w:val="22"/>
        </w:rPr>
        <w:t xml:space="preserve">AI Governance Board / Ethics Committee</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composition, decision authority, meeting cadence, and escalation rights. ISO 42001 Clause 5.1 requires top management commitment.</w:t>
      </w:r>
    </w:p>
    <w:p>
      <w:pPr>
        <w:spacing w:after="50"/>
      </w:pPr>
      <w:r>
        <w:rPr>
          <w:rFonts w:ascii="Calibri" w:cs="Calibri" w:eastAsia="Calibri" w:hAnsi="Calibri"/>
          <w:i/>
          <w:iCs/>
          <w:color w:val="E5E7EB"/>
          <w:sz w:val="20"/>
          <w:szCs w:val="20"/>
        </w:rPr>
        <w:t xml:space="preserve">Responsible for: policy approval and updates, high-risk AI use case approval, exception adjudication, annual program review. Composition: CAIO (Chair), CTO, CLO, CISO, Business Unit heads, External ethics advisor.</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AI Center of Excellence (CoE)</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The CoE is the operational arm of governance. Define whether it has advisory or enforcement authority.</w:t>
      </w:r>
    </w:p>
    <w:p>
      <w:pPr>
        <w:spacing w:after="50"/>
      </w:pPr>
      <w:r>
        <w:rPr>
          <w:rFonts w:ascii="Calibri" w:cs="Calibri" w:eastAsia="Calibri" w:hAnsi="Calibri"/>
          <w:i/>
          <w:iCs/>
          <w:color w:val="E5E7EB"/>
          <w:sz w:val="20"/>
          <w:szCs w:val="20"/>
        </w:rPr>
        <w:t xml:space="preserve">Responsible for: maintaining the AI system registry, conducting risk assessments, developing standards and templates, supporting business units with governance implementation, monitoring compliance.</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Business Unit AI Owners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Each AI system must have a named owner at the business unit level. This is distinct from the technical maintainer.</w:t>
      </w:r>
    </w:p>
    <w:p>
      <w:pPr>
        <w:spacing w:after="50"/>
      </w:pPr>
      <w:r>
        <w:rPr>
          <w:rFonts w:ascii="Calibri" w:cs="Calibri" w:eastAsia="Calibri" w:hAnsi="Calibri"/>
          <w:i/>
          <w:iCs/>
          <w:color w:val="E5E7EB"/>
          <w:sz w:val="20"/>
          <w:szCs w:val="20"/>
        </w:rPr>
        <w:t xml:space="preserve">Responsible for: registering AI use cases, completing risk assessments, ensuring compliance with this policy, maintaining documentation, reporting incidents.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All Employees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Include expectations for all staff, not just AI practitioners. Shadow AI detection depends on broad awareness.</w:t>
      </w:r>
    </w:p>
    <w:p>
      <w:pPr>
        <w:spacing w:after="50"/>
      </w:pPr>
      <w:r>
        <w:rPr>
          <w:rFonts w:ascii="Calibri" w:cs="Calibri" w:eastAsia="Calibri" w:hAnsi="Calibri"/>
          <w:i/>
          <w:iCs/>
          <w:color w:val="E5E7EB"/>
          <w:sz w:val="20"/>
          <w:szCs w:val="20"/>
        </w:rPr>
        <w:t xml:space="preserve">Responsible for: using approved AI tools only, reporting unauthorized AI use (shadow AI), completing AI literacy training, escalating concerns through designated channels.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Acceptable and Prohibited Uses</w:t>
      </w:r>
    </w:p>
    <w:p>
      <w:pPr>
        <w:spacing w:after="200"/>
      </w:pPr>
      <w:r>
        <w:rPr>
          <w:rFonts w:ascii="Calibri" w:cs="Calibri" w:eastAsia="Calibri" w:hAnsi="Calibri"/>
          <w:i/>
          <w:iCs/>
          <w:color w:val="6B7280"/>
          <w:sz w:val="20"/>
          <w:szCs w:val="20"/>
        </w:rPr>
        <w:t xml:space="preserve">Clear rules on what AI uses are permitted, restricted, or prohibited.</w:t>
      </w:r>
    </w:p>
    <w:p>
      <w:pPr>
        <w:spacing w:after="50" w:before="200"/>
      </w:pPr>
      <w:r>
        <w:rPr>
          <w:rFonts w:ascii="Calibri" w:cs="Calibri" w:eastAsia="Calibri" w:hAnsi="Calibri"/>
          <w:b/>
          <w:bCs/>
          <w:color w:val="0F1B2D"/>
          <w:sz w:val="22"/>
          <w:szCs w:val="22"/>
        </w:rPr>
        <w:t xml:space="preserve">Permitted Uses (No Prior Approval Required)</w:t>
      </w:r>
      <w:r>
        <w:rPr>
          <w:rFonts w:ascii="Calibri" w:cs="Calibri" w:eastAsia="Calibri" w:hAnsi="Calibri"/>
          <w:color w:val="6B7280"/>
          <w:sz w:val="18"/>
          <w:szCs w:val="18"/>
        </w:rPr>
        <w:t xml:space="preserve"> (checklist)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List specific tool categories and use cases that do not require case-by-case approval. Keep this list maintained as a living appendix.</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Approved enterprise AI tools for productivity (listed in Appendix A)</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Internal analytics and reporting using approved platforms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AI-assisted code review and development using sanctioned tools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Automated document summarization for internal use</w:t>
      </w:r>
    </w:p>
    <w:p>
      <w:pPr>
        <w:spacing w:after="50" w:before="200"/>
      </w:pPr>
      <w:r>
        <w:rPr>
          <w:rFonts w:ascii="Calibri" w:cs="Calibri" w:eastAsia="Calibri" w:hAnsi="Calibri"/>
          <w:b/>
          <w:bCs/>
          <w:color w:val="0F1B2D"/>
          <w:sz w:val="22"/>
          <w:szCs w:val="22"/>
        </w:rPr>
        <w:t xml:space="preserve">Restricted Uses (Approval Required)</w:t>
      </w:r>
      <w:r>
        <w:rPr>
          <w:rFonts w:ascii="Calibri" w:cs="Calibri" w:eastAsia="Calibri" w:hAnsi="Calibri"/>
          <w:color w:val="6B7280"/>
          <w:sz w:val="18"/>
          <w:szCs w:val="18"/>
        </w:rPr>
        <w:t xml:space="preserve"> (checklist)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These require a formal risk assessment and approval from the AI Governance Board. Define the approval workflow.</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Customer-facing AI applications (chatbots, recommendation engines)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AI systems processing personal data</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AI-assisted hiring, promotion, or performance evaluation</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AI systems making financial decisions exceeding [threshold]</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GenAI content published externally</w:t>
      </w:r>
    </w:p>
    <w:p>
      <w:pPr>
        <w:spacing w:after="50" w:before="200"/>
      </w:pPr>
      <w:r>
        <w:rPr>
          <w:rFonts w:ascii="Calibri" w:cs="Calibri" w:eastAsia="Calibri" w:hAnsi="Calibri"/>
          <w:b/>
          <w:bCs/>
          <w:color w:val="0F1B2D"/>
          <w:sz w:val="22"/>
          <w:szCs w:val="22"/>
        </w:rPr>
        <w:t xml:space="preserve">Prohibited Uses</w:t>
      </w:r>
      <w:r>
        <w:rPr>
          <w:rFonts w:ascii="Calibri" w:cs="Calibri" w:eastAsia="Calibri" w:hAnsi="Calibri"/>
          <w:color w:val="6B7280"/>
          <w:sz w:val="18"/>
          <w:szCs w:val="18"/>
        </w:rPr>
        <w:t xml:space="preserve"> (checklist)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Align with EU AI Act Article 5 (prohibited practices). These are absolute prohibitions with no exception process.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Social scoring of employees or customers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Mass surveillance without legal basis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Subliminal manipulation techniques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AI systems that exploit vulnerabilities of specific groups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Real-time biometric identification in public spaces (unless legally required)</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AI-generated deepfakes for deception</w:t>
      </w:r>
    </w:p>
    <w:p>
      <w:pPr>
        <w:spacing w:after="50" w:before="200"/>
      </w:pPr>
      <w:r>
        <w:rPr>
          <w:rFonts w:ascii="Calibri" w:cs="Calibri" w:eastAsia="Calibri" w:hAnsi="Calibri"/>
          <w:b/>
          <w:bCs/>
          <w:color w:val="0F1B2D"/>
          <w:sz w:val="22"/>
          <w:szCs w:val="22"/>
        </w:rPr>
        <w:t xml:space="preserve">Shadow AI Policy</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Shadow AI is one of the biggest governance risks. Define reporting channels and whether there is an amnesty period for self-reporting.</w:t>
      </w:r>
    </w:p>
    <w:p>
      <w:pPr>
        <w:spacing w:after="50"/>
      </w:pPr>
      <w:r>
        <w:rPr>
          <w:rFonts w:ascii="Calibri" w:cs="Calibri" w:eastAsia="Calibri" w:hAnsi="Calibri"/>
          <w:i/>
          <w:iCs/>
          <w:color w:val="E5E7EB"/>
          <w:sz w:val="20"/>
          <w:szCs w:val="20"/>
        </w:rPr>
        <w:t xml:space="preserve">The use of AI tools, services, or models not registered in the organization's AI System Registry is prohibited. Employees who discover unauthorized AI use must report it to [channel] within [timeframe].</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Risk Classification</w:t>
      </w:r>
    </w:p>
    <w:p>
      <w:pPr>
        <w:spacing w:after="200"/>
      </w:pPr>
      <w:r>
        <w:rPr>
          <w:rFonts w:ascii="Calibri" w:cs="Calibri" w:eastAsia="Calibri" w:hAnsi="Calibri"/>
          <w:i/>
          <w:iCs/>
          <w:color w:val="6B7280"/>
          <w:sz w:val="20"/>
          <w:szCs w:val="20"/>
        </w:rPr>
        <w:t xml:space="preserve">Framework for categorizing AI systems by risk level.</w:t>
      </w:r>
    </w:p>
    <w:p>
      <w:pPr>
        <w:spacing w:after="50" w:before="200"/>
      </w:pPr>
      <w:r>
        <w:rPr>
          <w:rFonts w:ascii="Calibri" w:cs="Calibri" w:eastAsia="Calibri" w:hAnsi="Calibri"/>
          <w:b/>
          <w:bCs/>
          <w:color w:val="0F1B2D"/>
          <w:sz w:val="22"/>
          <w:szCs w:val="22"/>
        </w:rPr>
        <w:t xml:space="preserve">Risk Tier Definitions</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Align tiers with EU AI Act risk categories (Article 6). Define clear criteria for each tier, not just labels.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shd w:color="0F1B2D" w:val="solid"/>
          </w:tcPr>
          <w:p>
            <w:r>
              <w:rPr>
                <w:rFonts w:ascii="Calibri" w:cs="Calibri" w:eastAsia="Calibri" w:hAnsi="Calibri"/>
                <w:b/>
                <w:bCs/>
                <w:color w:val="FFFFFF"/>
                <w:sz w:val="18"/>
                <w:szCs w:val="18"/>
              </w:rPr>
              <w:t xml:space="preserve">Tier 1 (Minimal): Internal productivity tools with no decision authority</w:t>
            </w:r>
          </w:p>
        </w:tc>
        <w:tc>
          <w:tcPr>
            <w:shd w:color="0F1B2D" w:val="solid"/>
          </w:tcPr>
          <w:p>
            <w:r>
              <w:rPr>
                <w:rFonts w:ascii="Calibri" w:cs="Calibri" w:eastAsia="Calibri" w:hAnsi="Calibri"/>
                <w:b/>
                <w:bCs/>
                <w:color w:val="FFFFFF"/>
                <w:sz w:val="18"/>
                <w:szCs w:val="18"/>
              </w:rPr>
              <w:t xml:space="preserve">Tier 2 (Limited): AI providing recommendations reviewed by humans</w:t>
            </w:r>
          </w:p>
        </w:tc>
        <w:tc>
          <w:tcPr>
            <w:shd w:color="0F1B2D" w:val="solid"/>
          </w:tcPr>
          <w:p>
            <w:r>
              <w:rPr>
                <w:rFonts w:ascii="Calibri" w:cs="Calibri" w:eastAsia="Calibri" w:hAnsi="Calibri"/>
                <w:b/>
                <w:bCs/>
                <w:color w:val="FFFFFF"/>
                <w:sz w:val="18"/>
                <w:szCs w:val="18"/>
              </w:rPr>
              <w:t xml:space="preserve">Tier 3 (High): AI influencing significant decisions (hiring, credit, safety)</w:t>
            </w:r>
          </w:p>
        </w:tc>
        <w:tc>
          <w:tcPr>
            <w:shd w:color="0F1B2D" w:val="solid"/>
          </w:tcPr>
          <w:p>
            <w:r>
              <w:rPr>
                <w:rFonts w:ascii="Calibri" w:cs="Calibri" w:eastAsia="Calibri" w:hAnsi="Calibri"/>
                <w:b/>
                <w:bCs/>
                <w:color w:val="FFFFFF"/>
                <w:sz w:val="18"/>
                <w:szCs w:val="18"/>
              </w:rPr>
              <w:t xml:space="preserve">Tier 4 (Critical): Autonomous AI decisions affecting rights, safety, or legal outcomes</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Classification Criteria</w:t>
      </w:r>
      <w:r>
        <w:rPr>
          <w:rFonts w:ascii="Calibri" w:cs="Calibri" w:eastAsia="Calibri" w:hAnsi="Calibri"/>
          <w:color w:val="6B7280"/>
          <w:sz w:val="18"/>
          <w:szCs w:val="18"/>
        </w:rPr>
        <w:t xml:space="preserve"> (checklist)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Use a scoring matrix to determine the tier. Each criterion should be scored on a defined scale.</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Impact on individuals (rights, safety, wellbeing)</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Degree of human oversight in the decision loop</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Scale of affected population</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Reversibility of decisions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Data sensitivity (personal, financial, health)</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Regulatory applicability (sector-specific requirements)</w:t>
      </w:r>
    </w:p>
    <w:p>
      <w:pPr>
        <w:spacing w:after="50" w:before="200"/>
      </w:pPr>
      <w:r>
        <w:rPr>
          <w:rFonts w:ascii="Calibri" w:cs="Calibri" w:eastAsia="Calibri" w:hAnsi="Calibri"/>
          <w:b/>
          <w:bCs/>
          <w:color w:val="0F1B2D"/>
          <w:sz w:val="22"/>
          <w:szCs w:val="22"/>
        </w:rPr>
        <w:t xml:space="preserve">Governance Requirements by Tier</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Higher tiers require progressively more documentation, testing, and oversight. Map each tier to specific COMPEL artifacts.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shd w:color="0F1B2D" w:val="solid"/>
          </w:tcPr>
          <w:p>
            <w:r>
              <w:rPr>
                <w:rFonts w:ascii="Calibri" w:cs="Calibri" w:eastAsia="Calibri" w:hAnsi="Calibri"/>
                <w:b/>
                <w:bCs/>
                <w:color w:val="FFFFFF"/>
                <w:sz w:val="18"/>
                <w:szCs w:val="18"/>
              </w:rPr>
              <w:t xml:space="preserve">Tier 1: Registration + annual review</w:t>
            </w:r>
          </w:p>
        </w:tc>
        <w:tc>
          <w:tcPr>
            <w:shd w:color="0F1B2D" w:val="solid"/>
          </w:tcPr>
          <w:p>
            <w:r>
              <w:rPr>
                <w:rFonts w:ascii="Calibri" w:cs="Calibri" w:eastAsia="Calibri" w:hAnsi="Calibri"/>
                <w:b/>
                <w:bCs/>
                <w:color w:val="FFFFFF"/>
                <w:sz w:val="18"/>
                <w:szCs w:val="18"/>
              </w:rPr>
              <w:t xml:space="preserve">Tier 2: Registration + risk assessment + human review</w:t>
            </w:r>
          </w:p>
        </w:tc>
        <w:tc>
          <w:tcPr>
            <w:shd w:color="0F1B2D" w:val="solid"/>
          </w:tcPr>
          <w:p>
            <w:r>
              <w:rPr>
                <w:rFonts w:ascii="Calibri" w:cs="Calibri" w:eastAsia="Calibri" w:hAnsi="Calibri"/>
                <w:b/>
                <w:bCs/>
                <w:color w:val="FFFFFF"/>
                <w:sz w:val="18"/>
                <w:szCs w:val="18"/>
              </w:rPr>
              <w:t xml:space="preserve">Tier 3: Full impact assessment + bias testing + ongoing monitoring</w:t>
            </w:r>
          </w:p>
        </w:tc>
        <w:tc>
          <w:tcPr>
            <w:shd w:color="0F1B2D" w:val="solid"/>
          </w:tcPr>
          <w:p>
            <w:r>
              <w:rPr>
                <w:rFonts w:ascii="Calibri" w:cs="Calibri" w:eastAsia="Calibri" w:hAnsi="Calibri"/>
                <w:b/>
                <w:bCs/>
                <w:color w:val="FFFFFF"/>
                <w:sz w:val="18"/>
                <w:szCs w:val="18"/>
              </w:rPr>
              <w:t xml:space="preserve">Tier 4: Board approval + external audit + continuous monitoring</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pStyle w:val="Heading2"/>
        <w:pBdr>
          <w:bottom w:val="single" w:color="0B9B8A" w:sz="3"/>
        </w:pBdr>
        <w:spacing w:after="100" w:before="400"/>
      </w:pPr>
      <w:r>
        <w:rPr>
          <w:rFonts w:ascii="Calibri" w:cs="Calibri" w:eastAsia="Calibri" w:hAnsi="Calibri"/>
          <w:b/>
          <w:bCs/>
          <w:color w:val="0F1B2D"/>
          <w:sz w:val="28"/>
          <w:szCs w:val="28"/>
        </w:rPr>
        <w:t xml:space="preserve">Incident Reporting and Response</w:t>
      </w:r>
    </w:p>
    <w:p>
      <w:pPr>
        <w:spacing w:after="200"/>
      </w:pPr>
      <w:r>
        <w:rPr>
          <w:rFonts w:ascii="Calibri" w:cs="Calibri" w:eastAsia="Calibri" w:hAnsi="Calibri"/>
          <w:i/>
          <w:iCs/>
          <w:color w:val="6B7280"/>
          <w:sz w:val="20"/>
          <w:szCs w:val="20"/>
        </w:rPr>
        <w:t xml:space="preserve">Procedures for AI-related incidents and near misses.</w:t>
      </w:r>
    </w:p>
    <w:p>
      <w:pPr>
        <w:spacing w:after="50" w:before="200"/>
      </w:pPr>
      <w:r>
        <w:rPr>
          <w:rFonts w:ascii="Calibri" w:cs="Calibri" w:eastAsia="Calibri" w:hAnsi="Calibri"/>
          <w:b/>
          <w:bCs/>
          <w:color w:val="0F1B2D"/>
          <w:sz w:val="22"/>
          <w:szCs w:val="22"/>
        </w:rPr>
        <w:t xml:space="preserve">Incident Definition</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broadly to capture near misses. Include model drift, unexpected outputs, data breaches involving training data, and bias detection.</w:t>
      </w:r>
    </w:p>
    <w:p>
      <w:pPr>
        <w:spacing w:after="50"/>
      </w:pPr>
      <w:r>
        <w:rPr>
          <w:rFonts w:ascii="Calibri" w:cs="Calibri" w:eastAsia="Calibri" w:hAnsi="Calibri"/>
          <w:i/>
          <w:iCs/>
          <w:color w:val="E5E7EB"/>
          <w:sz w:val="20"/>
          <w:szCs w:val="20"/>
        </w:rPr>
        <w:t xml:space="preserve">An AI incident is any event where an AI system causes or could have caused harm, produces discriminatory outcomes, operates outside its intended parameters, or breaches this policy.</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Reporting Channel</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Make the channel easily accessible. Consider anonymous reporting options for sensitive issues.</w:t>
      </w:r>
    </w:p>
    <w:p>
      <w:pPr>
        <w:pBdr>
          <w:bottom w:val="single" w:color="E5E7EB" w:sz="1"/>
        </w:pBdr>
        <w:spacing w:after="100"/>
      </w:pPr>
      <w:r>
        <w:rPr>
          <w:rFonts w:ascii="Calibri" w:cs="Calibri" w:eastAsia="Calibri" w:hAnsi="Calibri"/>
          <w:i/>
          <w:iCs/>
          <w:color w:val="E5E7EB"/>
          <w:sz w:val="20"/>
          <w:szCs w:val="20"/>
        </w:rPr>
        <w:t xml:space="preserve">ai-incidents@organization.com / ITSM Portal / Dedicated reporting form</w:t>
      </w:r>
    </w:p>
    <w:p>
      <w:pPr>
        <w:spacing w:after="50" w:before="200"/>
      </w:pPr>
      <w:r>
        <w:rPr>
          <w:rFonts w:ascii="Calibri" w:cs="Calibri" w:eastAsia="Calibri" w:hAnsi="Calibri"/>
          <w:b/>
          <w:bCs/>
          <w:color w:val="0F1B2D"/>
          <w:sz w:val="22"/>
          <w:szCs w:val="22"/>
        </w:rPr>
        <w:t xml:space="preserve">Response Timeframes</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Align with your existing incident management SLAs. EU AI Act Article 62 requires serious incident reporting to authorities.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shd w:color="0F1B2D" w:val="solid"/>
          </w:tcPr>
          <w:p>
            <w:r>
              <w:rPr>
                <w:rFonts w:ascii="Calibri" w:cs="Calibri" w:eastAsia="Calibri" w:hAnsi="Calibri"/>
                <w:b/>
                <w:bCs/>
                <w:color w:val="FFFFFF"/>
                <w:sz w:val="18"/>
                <w:szCs w:val="18"/>
              </w:rPr>
              <w:t xml:space="preserve">Critical (safety/legal): Immediate containment, 4hr initial response</w:t>
            </w:r>
          </w:p>
        </w:tc>
        <w:tc>
          <w:tcPr>
            <w:shd w:color="0F1B2D" w:val="solid"/>
          </w:tcPr>
          <w:p>
            <w:r>
              <w:rPr>
                <w:rFonts w:ascii="Calibri" w:cs="Calibri" w:eastAsia="Calibri" w:hAnsi="Calibri"/>
                <w:b/>
                <w:bCs/>
                <w:color w:val="FFFFFF"/>
                <w:sz w:val="18"/>
                <w:szCs w:val="18"/>
              </w:rPr>
              <w:t xml:space="preserve">High (significant harm): 24hr initial response</w:t>
            </w:r>
          </w:p>
        </w:tc>
        <w:tc>
          <w:tcPr>
            <w:shd w:color="0F1B2D" w:val="solid"/>
          </w:tcPr>
          <w:p>
            <w:r>
              <w:rPr>
                <w:rFonts w:ascii="Calibri" w:cs="Calibri" w:eastAsia="Calibri" w:hAnsi="Calibri"/>
                <w:b/>
                <w:bCs/>
                <w:color w:val="FFFFFF"/>
                <w:sz w:val="18"/>
                <w:szCs w:val="18"/>
              </w:rPr>
              <w:t xml:space="preserve">Medium (operational): 72hr response</w:t>
            </w:r>
          </w:p>
        </w:tc>
        <w:tc>
          <w:tcPr>
            <w:shd w:color="0F1B2D" w:val="solid"/>
          </w:tcPr>
          <w:p>
            <w:r>
              <w:rPr>
                <w:rFonts w:ascii="Calibri" w:cs="Calibri" w:eastAsia="Calibri" w:hAnsi="Calibri"/>
                <w:b/>
                <w:bCs/>
                <w:color w:val="FFFFFF"/>
                <w:sz w:val="18"/>
                <w:szCs w:val="18"/>
              </w:rPr>
              <w:t xml:space="preserve">Low (minor): Next review cycle</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Post-Incident Review</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Feed lessons learned back into the policy and risk assessment process. This supports the COMPEL Learn stage.</w:t>
      </w:r>
    </w:p>
    <w:p>
      <w:pPr>
        <w:spacing w:after="50"/>
      </w:pPr>
      <w:r>
        <w:rPr>
          <w:rFonts w:ascii="Calibri" w:cs="Calibri" w:eastAsia="Calibri" w:hAnsi="Calibri"/>
          <w:i/>
          <w:iCs/>
          <w:color w:val="E5E7EB"/>
          <w:sz w:val="20"/>
          <w:szCs w:val="20"/>
        </w:rPr>
        <w:t xml:space="preserve">All Tier 3+ incidents require a formal post-incident review within [timeframe] including root cause analysis, corrective actions, and policy update recommendations.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Compliance and Enforcement</w:t>
      </w:r>
    </w:p>
    <w:p>
      <w:pPr>
        <w:spacing w:after="200"/>
      </w:pPr>
      <w:r>
        <w:rPr>
          <w:rFonts w:ascii="Calibri" w:cs="Calibri" w:eastAsia="Calibri" w:hAnsi="Calibri"/>
          <w:i/>
          <w:iCs/>
          <w:color w:val="6B7280"/>
          <w:sz w:val="20"/>
          <w:szCs w:val="20"/>
        </w:rPr>
        <w:t xml:space="preserve">How policy compliance is monitored and enforced.</w:t>
      </w:r>
    </w:p>
    <w:p>
      <w:pPr>
        <w:spacing w:after="50" w:before="200"/>
      </w:pPr>
      <w:r>
        <w:rPr>
          <w:rFonts w:ascii="Calibri" w:cs="Calibri" w:eastAsia="Calibri" w:hAnsi="Calibri"/>
          <w:b/>
          <w:bCs/>
          <w:color w:val="0F1B2D"/>
          <w:sz w:val="22"/>
          <w:szCs w:val="22"/>
        </w:rPr>
        <w:t xml:space="preserve">Compliance Monitoring</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both proactive monitoring (scheduled reviews) and reactive monitoring (incident-driven audits).</w:t>
      </w:r>
    </w:p>
    <w:p>
      <w:pPr>
        <w:spacing w:after="50"/>
      </w:pPr>
      <w:r>
        <w:rPr>
          <w:rFonts w:ascii="Calibri" w:cs="Calibri" w:eastAsia="Calibri" w:hAnsi="Calibri"/>
          <w:i/>
          <w:iCs/>
          <w:color w:val="E5E7EB"/>
          <w:sz w:val="20"/>
          <w:szCs w:val="20"/>
        </w:rPr>
        <w:t xml:space="preserve">The AI CoE shall conduct quarterly compliance reviews of all registered AI systems. Business units shall self-certify compliance annually. Random audits shall cover at least 20% of registered systems per year.</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Non-Compliance Consequences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Be specific but proportionate. Minor first-time violations should have a remediation path; deliberate violations warrant stronger action.</w:t>
      </w:r>
    </w:p>
    <w:p>
      <w:pPr>
        <w:spacing w:after="50"/>
      </w:pPr>
      <w:r>
        <w:rPr>
          <w:rFonts w:ascii="Calibri" w:cs="Calibri" w:eastAsia="Calibri" w:hAnsi="Calibri"/>
          <w:i/>
          <w:iCs/>
          <w:color w:val="E5E7EB"/>
          <w:sz w:val="20"/>
          <w:szCs w:val="20"/>
        </w:rPr>
        <w:t xml:space="preserve">Policy violations may result in: system suspension pending review, mandatory remediation with timeline, escalation to the AI Governance Board, disciplinary action per HR policy, regulatory reporting where required.</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Exception Process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A policy without an exception process leads to shadow non-compliance. Document every exception and its rationale.</w:t>
      </w:r>
    </w:p>
    <w:p>
      <w:pPr>
        <w:spacing w:after="50"/>
      </w:pPr>
      <w:r>
        <w:rPr>
          <w:rFonts w:ascii="Calibri" w:cs="Calibri" w:eastAsia="Calibri" w:hAnsi="Calibri"/>
          <w:i/>
          <w:iCs/>
          <w:color w:val="E5E7EB"/>
          <w:sz w:val="20"/>
          <w:szCs w:val="20"/>
        </w:rPr>
        <w:t xml:space="preserve">Exceptions to this policy require written justification, risk assessment, compensating controls documentation, and approval from the AI Governance Board. Exceptions are time-limited (maximum [duration]) and subject to review.</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ageBreakBefore/>
      </w:pPr>
    </w:p>
    <w:p>
      <w:pPr>
        <w:pStyle w:val="Heading2"/>
        <w:pBdr>
          <w:bottom w:val="single" w:color="E8891D" w:sz="3"/>
        </w:pBdr>
        <w:spacing w:after="200" w:before="400"/>
      </w:pPr>
      <w:r>
        <w:rPr>
          <w:rFonts w:ascii="Calibri" w:cs="Calibri" w:eastAsia="Calibri" w:hAnsi="Calibri"/>
          <w:b/>
          <w:bCs/>
          <w:color w:val="0F1B2D"/>
          <w:sz w:val="28"/>
          <w:szCs w:val="28"/>
        </w:rPr>
        <w:t xml:space="preserve">Frequently Asked Questions</w:t>
      </w:r>
    </w:p>
    <w:p>
      <w:pPr>
        <w:spacing w:after="50" w:before="200"/>
      </w:pPr>
      <w:r>
        <w:rPr>
          <w:rFonts w:ascii="Calibri" w:cs="Calibri" w:eastAsia="Calibri" w:hAnsi="Calibri"/>
          <w:b/>
          <w:bCs/>
          <w:color w:val="0F1B2D"/>
          <w:sz w:val="22"/>
          <w:szCs w:val="22"/>
        </w:rPr>
        <w:t xml:space="preserve">Q: How does the AI Policy relate to existing IT and data governance policies?</w:t>
      </w:r>
    </w:p>
    <w:p>
      <w:pPr>
        <w:spacing w:after="150"/>
      </w:pPr>
      <w:r>
        <w:rPr>
          <w:rFonts w:ascii="Calibri" w:cs="Calibri" w:eastAsia="Calibri" w:hAnsi="Calibri"/>
          <w:color w:val="374151"/>
          <w:sz w:val="20"/>
          <w:szCs w:val="20"/>
        </w:rPr>
        <w:t xml:space="preserve">The AI Policy should cross-reference and complement existing policies (data governance, information security, privacy, ethics). It does not replace them but adds AI-specific requirements. Where conflicts exist, the more restrictive requirement applies unless the AI Governance Board approves an exception.</w:t>
      </w:r>
    </w:p>
    <w:p>
      <w:pPr>
        <w:spacing w:after="50" w:before="200"/>
      </w:pPr>
      <w:r>
        <w:rPr>
          <w:rFonts w:ascii="Calibri" w:cs="Calibri" w:eastAsia="Calibri" w:hAnsi="Calibri"/>
          <w:b/>
          <w:bCs/>
          <w:color w:val="0F1B2D"/>
          <w:sz w:val="22"/>
          <w:szCs w:val="22"/>
        </w:rPr>
        <w:t xml:space="preserve">Q: How often should the AI Policy be updated?</w:t>
      </w:r>
    </w:p>
    <w:p>
      <w:pPr>
        <w:spacing w:after="150"/>
      </w:pPr>
      <w:r>
        <w:rPr>
          <w:rFonts w:ascii="Calibri" w:cs="Calibri" w:eastAsia="Calibri" w:hAnsi="Calibri"/>
          <w:color w:val="374151"/>
          <w:sz w:val="20"/>
          <w:szCs w:val="20"/>
        </w:rPr>
        <w:t xml:space="preserve">ISO 42001 requires periodic review. At minimum, conduct a formal review annually and after any significant regulatory change, major AI incident, or material change in AI usage patterns. The policy should be a living document with a clear change management process.</w:t>
      </w:r>
    </w:p>
    <w:p>
      <w:pPr>
        <w:spacing w:after="50" w:before="200"/>
      </w:pPr>
      <w:r>
        <w:rPr>
          <w:rFonts w:ascii="Calibri" w:cs="Calibri" w:eastAsia="Calibri" w:hAnsi="Calibri"/>
          <w:b/>
          <w:bCs/>
          <w:color w:val="0F1B2D"/>
          <w:sz w:val="22"/>
          <w:szCs w:val="22"/>
        </w:rPr>
        <w:t xml:space="preserve">Q: What if employees are already using AI tools not covered by this policy?</w:t>
      </w:r>
    </w:p>
    <w:p>
      <w:pPr>
        <w:spacing w:after="150"/>
      </w:pPr>
      <w:r>
        <w:rPr>
          <w:rFonts w:ascii="Calibri" w:cs="Calibri" w:eastAsia="Calibri" w:hAnsi="Calibri"/>
          <w:color w:val="374151"/>
          <w:sz w:val="20"/>
          <w:szCs w:val="20"/>
        </w:rPr>
        <w:t xml:space="preserve">Implement a time-limited amnesty and registration period. All existing AI uses should be registered within the AI System Registry within 90 days. After the amnesty period, unauthorized use falls under the enforcement provisions of this policy.</w:t>
      </w:r>
    </w:p>
    <w:p>
      <w:pPr>
        <w:spacing w:after="50" w:before="200"/>
      </w:pPr>
      <w:r>
        <w:rPr>
          <w:rFonts w:ascii="Calibri" w:cs="Calibri" w:eastAsia="Calibri" w:hAnsi="Calibri"/>
          <w:b/>
          <w:bCs/>
          <w:color w:val="0F1B2D"/>
          <w:sz w:val="22"/>
          <w:szCs w:val="22"/>
        </w:rPr>
        <w:t xml:space="preserve">Q: How does this map to ISO 42001 certification requirements?</w:t>
      </w:r>
    </w:p>
    <w:p>
      <w:pPr>
        <w:spacing w:after="150"/>
      </w:pPr>
      <w:r>
        <w:rPr>
          <w:rFonts w:ascii="Calibri" w:cs="Calibri" w:eastAsia="Calibri" w:hAnsi="Calibri"/>
          <w:color w:val="374151"/>
          <w:sz w:val="20"/>
          <w:szCs w:val="20"/>
        </w:rPr>
        <w:t xml:space="preserve">This policy template addresses ISO 42001 Clause 5.2 (AI Policy) directly. When completed and implemented, it provides the foundational policy document required for ISO 42001 management system certification. The policy must be communicated, available, and reviewed as stated in Clause 5.2.</w:t>
      </w:r>
    </w:p>
    <w:sectPr>
      <w:headerReference w:type="default" r:id="rId7"/>
      <w:footerReference w:type="default" r:id="rId8"/>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6"/>
        <w:szCs w:val="16"/>
      </w:rPr>
      <w:t xml:space="preserve">© 2026 FlowRidge — COMPEL Framework  |  www.compelframework.org  |  Page </w:t>
    </w:r>
    <w:r>
      <w:rPr>
        <w:rFonts w:ascii="Calibri" w:cs="Calibri" w:eastAsia="Calibri" w:hAnsi="Calibri"/>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B7280"/>
        <w:sz w:val="16"/>
        <w:szCs w:val="16"/>
      </w:rPr>
      <w:t xml:space="preserve">AI Policy Template — EA-001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beb22816feb5705540a7a33df9afd81c5a72173.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2026-04-12T23:59:41.575Z</dcterms:created>
  <dcterms:modified xsi:type="dcterms:W3CDTF">2026-04-12T23:59:41.576Z</dcterms:modified>
</cp:coreProperties>
</file>

<file path=docProps/custom.xml><?xml version="1.0" encoding="utf-8"?>
<Properties xmlns="http://schemas.openxmlformats.org/officeDocument/2006/custom-properties" xmlns:vt="http://schemas.openxmlformats.org/officeDocument/2006/docPropsVTypes"/>
</file>